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8CE3" w14:textId="77777777" w:rsidR="00D16F0E" w:rsidRPr="002B39EB" w:rsidRDefault="00D16F0E" w:rsidP="00D16F0E">
      <w:pPr>
        <w:rPr>
          <w:rFonts w:eastAsia="Times New Roman" w:cs="Calibri"/>
          <w:b/>
          <w:bCs/>
          <w:iCs/>
          <w:color w:val="000000"/>
          <w:sz w:val="24"/>
          <w:szCs w:val="24"/>
          <w:lang w:eastAsia="pl-PL"/>
        </w:rPr>
      </w:pPr>
    </w:p>
    <w:p w14:paraId="5621D2CE" w14:textId="30C18F86" w:rsidR="00D16F0E" w:rsidRDefault="00D16F0E" w:rsidP="00D16F0E">
      <w:pPr>
        <w:tabs>
          <w:tab w:val="left" w:pos="2160"/>
        </w:tabs>
        <w:spacing w:after="0" w:line="276" w:lineRule="auto"/>
        <w:jc w:val="right"/>
        <w:rPr>
          <w:rFonts w:cs="Arial"/>
          <w:b/>
          <w:sz w:val="24"/>
          <w:szCs w:val="24"/>
        </w:rPr>
      </w:pPr>
      <w:r w:rsidRPr="002B39EB">
        <w:rPr>
          <w:rFonts w:eastAsia="Times New Roman" w:cs="Calibri"/>
          <w:b/>
          <w:bCs/>
          <w:iCs/>
          <w:color w:val="000000"/>
          <w:sz w:val="24"/>
          <w:szCs w:val="24"/>
          <w:lang w:eastAsia="pl-PL"/>
        </w:rPr>
        <w:t>Załącznik nr 2</w:t>
      </w:r>
      <w:r w:rsidR="00F3128D">
        <w:rPr>
          <w:rFonts w:eastAsia="Times New Roman" w:cs="Calibri"/>
          <w:b/>
          <w:bCs/>
          <w:iCs/>
          <w:color w:val="000000"/>
          <w:sz w:val="24"/>
          <w:szCs w:val="24"/>
          <w:lang w:eastAsia="pl-PL"/>
        </w:rPr>
        <w:t>b do OPZ</w:t>
      </w:r>
    </w:p>
    <w:p w14:paraId="6AA109DE" w14:textId="77777777" w:rsidR="00D16F0E" w:rsidRDefault="00D16F0E" w:rsidP="00D16F0E">
      <w:pPr>
        <w:tabs>
          <w:tab w:val="left" w:pos="2160"/>
        </w:tabs>
        <w:spacing w:after="0" w:line="276" w:lineRule="auto"/>
        <w:jc w:val="center"/>
        <w:rPr>
          <w:rFonts w:cs="Arial"/>
          <w:b/>
          <w:sz w:val="24"/>
          <w:szCs w:val="24"/>
        </w:rPr>
      </w:pPr>
    </w:p>
    <w:p w14:paraId="3F046C1B" w14:textId="510C98CF" w:rsidR="00D16F0E" w:rsidRPr="00C51451" w:rsidRDefault="00D16F0E" w:rsidP="00D16F0E">
      <w:pPr>
        <w:tabs>
          <w:tab w:val="left" w:pos="2160"/>
        </w:tabs>
        <w:spacing w:after="0" w:line="276" w:lineRule="auto"/>
        <w:jc w:val="center"/>
        <w:rPr>
          <w:rFonts w:cs="Arial"/>
          <w:b/>
        </w:rPr>
      </w:pPr>
      <w:r w:rsidRPr="00C51451">
        <w:rPr>
          <w:rFonts w:cs="Arial"/>
          <w:b/>
        </w:rPr>
        <w:t xml:space="preserve">Parametry techniczne i wymagania techniczno-formalne </w:t>
      </w:r>
      <w:r>
        <w:rPr>
          <w:rFonts w:cs="Arial"/>
          <w:b/>
        </w:rPr>
        <w:t>Zapytania Ofertowego</w:t>
      </w:r>
    </w:p>
    <w:p w14:paraId="27B41536" w14:textId="77777777" w:rsidR="00D16F0E" w:rsidRPr="00C51451" w:rsidRDefault="00D16F0E" w:rsidP="00D16F0E">
      <w:pPr>
        <w:jc w:val="center"/>
        <w:rPr>
          <w:rFonts w:cs="Arial"/>
          <w:b/>
        </w:rPr>
      </w:pPr>
    </w:p>
    <w:p w14:paraId="429E8472" w14:textId="77777777" w:rsidR="00D16F0E" w:rsidRPr="00C51451" w:rsidRDefault="00D16F0E" w:rsidP="00D16F0E">
      <w:pPr>
        <w:pStyle w:val="Akapitzlist"/>
        <w:numPr>
          <w:ilvl w:val="0"/>
          <w:numId w:val="8"/>
        </w:numPr>
        <w:spacing w:after="0" w:line="240" w:lineRule="auto"/>
        <w:ind w:left="360" w:hanging="360"/>
        <w:rPr>
          <w:b/>
        </w:rPr>
      </w:pPr>
      <w:r w:rsidRPr="00C51451">
        <w:rPr>
          <w:rFonts w:cs="Arial"/>
          <w:b/>
        </w:rPr>
        <w:t>Ogólne wymagania techniczno-formalne dla osprzętu</w:t>
      </w:r>
    </w:p>
    <w:p w14:paraId="564BDC5C" w14:textId="77777777" w:rsidR="00D16F0E" w:rsidRPr="00C51451" w:rsidRDefault="00D16F0E" w:rsidP="00D16F0E">
      <w:pPr>
        <w:tabs>
          <w:tab w:val="left" w:pos="6645"/>
        </w:tabs>
        <w:spacing w:after="60"/>
        <w:jc w:val="right"/>
        <w:rPr>
          <w:sz w:val="20"/>
        </w:rPr>
      </w:pPr>
    </w:p>
    <w:p w14:paraId="3751922F" w14:textId="77777777" w:rsidR="00D16F0E" w:rsidRPr="00C51451" w:rsidRDefault="00D16F0E" w:rsidP="00D16F0E">
      <w:pPr>
        <w:pStyle w:val="Akapitzlist"/>
        <w:numPr>
          <w:ilvl w:val="1"/>
          <w:numId w:val="7"/>
        </w:numPr>
        <w:spacing w:before="120" w:after="60" w:line="264" w:lineRule="auto"/>
        <w:contextualSpacing w:val="0"/>
        <w:jc w:val="both"/>
        <w:rPr>
          <w:rFonts w:cs="Arial"/>
        </w:rPr>
      </w:pPr>
      <w:r w:rsidRPr="007C66A9">
        <w:rPr>
          <w:rFonts w:cs="Arial"/>
        </w:rPr>
        <w:t>Numery katalogowe osprzętu zostały podane na podstawie „Katalogu sieci trakcyjnej”</w:t>
      </w:r>
      <w:r w:rsidRPr="00C51451">
        <w:rPr>
          <w:rFonts w:cs="Arial"/>
        </w:rPr>
        <w:t xml:space="preserve"> wydanego przez Centralne Biuro Projektowo-Badawcze Budownictwa Kolejowego „KOLPROJEKT” Spółka z o.o. Warszawa. Wydanie z 2004 r. (z późniejszymi uzupełnieniami).</w:t>
      </w:r>
    </w:p>
    <w:p w14:paraId="4F61E9F8" w14:textId="77777777" w:rsidR="00D16F0E" w:rsidRPr="00C51451" w:rsidRDefault="00D16F0E" w:rsidP="00D16F0E">
      <w:pPr>
        <w:pStyle w:val="Akapitzlist"/>
        <w:numPr>
          <w:ilvl w:val="1"/>
          <w:numId w:val="7"/>
        </w:numPr>
        <w:spacing w:before="120" w:after="60" w:line="264" w:lineRule="auto"/>
        <w:contextualSpacing w:val="0"/>
        <w:jc w:val="both"/>
        <w:rPr>
          <w:rFonts w:cs="Arial"/>
        </w:rPr>
      </w:pPr>
      <w:r w:rsidRPr="00C51451">
        <w:rPr>
          <w:rFonts w:cs="Arial"/>
        </w:rPr>
        <w:t>ZAMAWIAJĄCY wymaga, aby oferowany osprzęt był nowy (tj. data produkcji nie może być wcześniejsza niż 12 miesięcy przed datą dostawy), kompletny i nieużywany, wolny od wszelkich uszkodzeń, wad fizycznych i prawnych.</w:t>
      </w:r>
    </w:p>
    <w:p w14:paraId="7A59A136" w14:textId="77777777" w:rsidR="00D16F0E" w:rsidRPr="00C51451" w:rsidRDefault="00D16F0E" w:rsidP="00D16F0E">
      <w:pPr>
        <w:pStyle w:val="Akapitzlist"/>
        <w:numPr>
          <w:ilvl w:val="1"/>
          <w:numId w:val="7"/>
        </w:numPr>
        <w:spacing w:after="60" w:line="264" w:lineRule="auto"/>
        <w:contextualSpacing w:val="0"/>
        <w:jc w:val="both"/>
        <w:rPr>
          <w:rFonts w:cs="Arial"/>
        </w:rPr>
      </w:pPr>
      <w:r w:rsidRPr="00C51451">
        <w:rPr>
          <w:rFonts w:cs="Arial"/>
        </w:rPr>
        <w:t>Osprzęt oferowany przez Dostawcę powinien spełniać obowiązujące wymagania PKP Polskich Linii Kolejowych S.A. (dalej również „</w:t>
      </w:r>
      <w:r w:rsidRPr="00C51451">
        <w:rPr>
          <w:rFonts w:cs="Arial"/>
          <w:b/>
        </w:rPr>
        <w:t>PKP PLK</w:t>
      </w:r>
      <w:r w:rsidRPr="00C51451">
        <w:rPr>
          <w:rFonts w:cs="Arial"/>
        </w:rPr>
        <w:t xml:space="preserve">”) podczas obowiązywania umowy ramowej, w tym wymagania dotyczące </w:t>
      </w:r>
      <w:proofErr w:type="spellStart"/>
      <w:r w:rsidRPr="00C51451">
        <w:rPr>
          <w:rFonts w:cs="Arial"/>
        </w:rPr>
        <w:t>dopuszczeń</w:t>
      </w:r>
      <w:proofErr w:type="spellEnd"/>
      <w:r w:rsidRPr="00C51451">
        <w:rPr>
          <w:rFonts w:cs="Arial"/>
        </w:rPr>
        <w:t>, o których mowa poniżej oraz zgodności z dokumentami normatywnymi obowiązującymi w PKP PLK.</w:t>
      </w:r>
    </w:p>
    <w:p w14:paraId="5B8A97D1" w14:textId="77777777" w:rsidR="00D16F0E" w:rsidRPr="00C51451" w:rsidRDefault="00D16F0E" w:rsidP="00D16F0E">
      <w:pPr>
        <w:pStyle w:val="Akapitzlist"/>
        <w:spacing w:after="60" w:line="264" w:lineRule="auto"/>
        <w:contextualSpacing w:val="0"/>
        <w:jc w:val="both"/>
        <w:rPr>
          <w:rFonts w:cs="Arial"/>
        </w:rPr>
      </w:pPr>
      <w:r w:rsidRPr="00C51451">
        <w:rPr>
          <w:rFonts w:cs="Arial"/>
        </w:rPr>
        <w:t>Produkty podlegające pod procedurę SMS-PW-17 (ogólnodostępna procedura pn. „Dopuszczanie elementów podsystemów i technologii przeznaczonych do stosowania na liniach kolejowych zarządzanych przez PKP Polskie Linie Kolejowe S.A.” z dnia 27.10.2015 przyjęta do stosowania przez Zarząd firmy PKP PLK) stosowania na liniach kolejowych zarządzanych przez PKP PLK, muszą posiadać ważne dopuszczenie do stosowania na liniach kolejowych zarządzanych przez PKP PLK, wydane przez PKP PLK.</w:t>
      </w:r>
    </w:p>
    <w:p w14:paraId="6EEF08DC" w14:textId="77777777" w:rsidR="00D16F0E" w:rsidRPr="00C51451" w:rsidRDefault="00D16F0E" w:rsidP="00D16F0E">
      <w:pPr>
        <w:pStyle w:val="Akapitzlist"/>
        <w:spacing w:after="60" w:line="264" w:lineRule="auto"/>
        <w:contextualSpacing w:val="0"/>
        <w:jc w:val="both"/>
        <w:rPr>
          <w:rFonts w:cs="Arial"/>
        </w:rPr>
      </w:pPr>
      <w:r w:rsidRPr="00C51451">
        <w:rPr>
          <w:rFonts w:cs="Arial"/>
        </w:rPr>
        <w:t>Produkty, które nie podlegają procedurze SMS-PW-17, dopuszczane są zgodnie z zasadami zawartymi w „Instrukcji oceny, kwalifikacji wykonawców oraz dopuszczenia materiałów w PKP Polskie Linie Kolejowe S.A.”, stanowiącej załącznik do Polityki Korporacyjnej Zakupów PKP Polskie Linie Kolejowe S.A.</w:t>
      </w:r>
    </w:p>
    <w:p w14:paraId="6333DB41" w14:textId="77777777" w:rsidR="00D16F0E" w:rsidRPr="00C51451" w:rsidRDefault="00D16F0E" w:rsidP="00D16F0E">
      <w:pPr>
        <w:pStyle w:val="Akapitzlist"/>
        <w:numPr>
          <w:ilvl w:val="1"/>
          <w:numId w:val="7"/>
        </w:numPr>
        <w:spacing w:after="60" w:line="264" w:lineRule="auto"/>
        <w:contextualSpacing w:val="0"/>
        <w:jc w:val="both"/>
        <w:rPr>
          <w:rFonts w:cs="Arial"/>
        </w:rPr>
      </w:pPr>
      <w:r w:rsidRPr="00C51451">
        <w:rPr>
          <w:rFonts w:cs="Arial"/>
        </w:rPr>
        <w:t>Osprzęt objęty Umową powinien posiadać:</w:t>
      </w:r>
    </w:p>
    <w:p w14:paraId="576F25DA" w14:textId="77777777" w:rsidR="00D16F0E" w:rsidRPr="00C51451" w:rsidRDefault="00D16F0E" w:rsidP="00D16F0E">
      <w:pPr>
        <w:pStyle w:val="Akapitzlist"/>
        <w:numPr>
          <w:ilvl w:val="0"/>
          <w:numId w:val="2"/>
        </w:numPr>
        <w:spacing w:after="60" w:line="264" w:lineRule="auto"/>
        <w:jc w:val="both"/>
        <w:rPr>
          <w:rFonts w:cs="Arial"/>
        </w:rPr>
      </w:pPr>
      <w:r w:rsidRPr="00C51451">
        <w:rPr>
          <w:rFonts w:cs="Arial"/>
        </w:rPr>
        <w:t>dopuszczenie wydane DOSTAWCY (dozwolone jest również posługiwanie się dopuszczeniem innego podmiotu, pod warunkiem, że DOSTAWCA posiada pisemną zgodę tego podmiotu na posługiwanie się tym dopuszczeniem)  przez PKP Polskie Linie Kolejowe S.A. (wymaganie dotyczy wyrobów podlegających proc</w:t>
      </w:r>
      <w:r>
        <w:rPr>
          <w:rFonts w:cs="Arial"/>
        </w:rPr>
        <w:t>edurze dopuszczania produktów i </w:t>
      </w:r>
      <w:r w:rsidRPr="00C51451">
        <w:rPr>
          <w:rFonts w:cs="Arial"/>
        </w:rPr>
        <w:t>technologii przeznaczonych do stosowania na liniach kolejowych zarządzanych przez PKP Polskie Linie Kolejowe S.A.),</w:t>
      </w:r>
    </w:p>
    <w:p w14:paraId="5E0C02D8" w14:textId="77777777" w:rsidR="00D16F0E" w:rsidRPr="00C51451" w:rsidRDefault="00D16F0E" w:rsidP="00D16F0E">
      <w:pPr>
        <w:pStyle w:val="Akapitzlist"/>
        <w:spacing w:after="60" w:line="264" w:lineRule="auto"/>
        <w:ind w:left="993"/>
        <w:contextualSpacing w:val="0"/>
        <w:jc w:val="both"/>
        <w:rPr>
          <w:rFonts w:cs="Arial"/>
        </w:rPr>
      </w:pPr>
      <w:r w:rsidRPr="00C51451">
        <w:rPr>
          <w:rFonts w:cs="Arial"/>
        </w:rPr>
        <w:t>i/lub (w zależności od obowiązujących przepisów prawa i wymagań PKP Polskich Linii Kolejowych S.A.)</w:t>
      </w:r>
    </w:p>
    <w:p w14:paraId="0DD612D4" w14:textId="77777777" w:rsidR="00D16F0E" w:rsidRPr="00C51451" w:rsidRDefault="00D16F0E" w:rsidP="00D16F0E">
      <w:pPr>
        <w:pStyle w:val="Akapitzlist"/>
        <w:numPr>
          <w:ilvl w:val="0"/>
          <w:numId w:val="2"/>
        </w:numPr>
        <w:spacing w:after="60" w:line="264" w:lineRule="auto"/>
        <w:contextualSpacing w:val="0"/>
        <w:jc w:val="both"/>
        <w:rPr>
          <w:rFonts w:cs="Arial"/>
        </w:rPr>
      </w:pPr>
      <w:r w:rsidRPr="00C51451">
        <w:rPr>
          <w:rFonts w:cs="Arial"/>
        </w:rPr>
        <w:t>świadectwo dopuszczenia do eksploatacji wydane przez Prezesa Urzędu Transportu Kolejowego</w:t>
      </w:r>
    </w:p>
    <w:p w14:paraId="689D1A3E" w14:textId="77777777" w:rsidR="00D16F0E" w:rsidRDefault="00D16F0E" w:rsidP="00D16F0E">
      <w:pPr>
        <w:pStyle w:val="Akapitzlist"/>
        <w:spacing w:after="60" w:line="264" w:lineRule="auto"/>
        <w:ind w:left="709"/>
        <w:contextualSpacing w:val="0"/>
        <w:jc w:val="both"/>
        <w:rPr>
          <w:rFonts w:cs="Arial"/>
        </w:rPr>
      </w:pPr>
      <w:r w:rsidRPr="00C51451">
        <w:rPr>
          <w:rFonts w:cs="Arial"/>
        </w:rPr>
        <w:t>obowiązujące w okresie od terminu złożenia oferty do dnia zakończenia Umowy.</w:t>
      </w:r>
    </w:p>
    <w:p w14:paraId="0CFB0034" w14:textId="63AA9056" w:rsidR="00102333" w:rsidRPr="00102333" w:rsidRDefault="00102333" w:rsidP="00D16F0E">
      <w:pPr>
        <w:pStyle w:val="Akapitzlist"/>
        <w:spacing w:after="60" w:line="264" w:lineRule="auto"/>
        <w:ind w:left="709"/>
        <w:contextualSpacing w:val="0"/>
        <w:jc w:val="both"/>
        <w:rPr>
          <w:rFonts w:cs="Arial"/>
          <w:bCs/>
        </w:rPr>
      </w:pPr>
      <w:r w:rsidRPr="00102333">
        <w:rPr>
          <w:rFonts w:eastAsia="Times New Roman" w:cs="Calibri"/>
          <w:lang w:eastAsia="pl-PL"/>
        </w:rPr>
        <w:t xml:space="preserve">W przypadku wykreślenia, wygaśnięcia lub cofnięcia dopuszczenia danego Materiału  wyszczególnionego w Załączniku nr 2a , </w:t>
      </w:r>
      <w:r w:rsidRPr="00102333">
        <w:rPr>
          <w:rFonts w:eastAsia="Times New Roman" w:cs="Calibri"/>
          <w:bCs/>
          <w:lang w:eastAsia="pl-PL"/>
        </w:rPr>
        <w:t>Dostawca jest zobowiązany do niezwłocznego poinformowania o tym fakcie Zamawiającego</w:t>
      </w:r>
      <w:r>
        <w:rPr>
          <w:rFonts w:eastAsia="Times New Roman" w:cs="Calibri"/>
          <w:bCs/>
          <w:lang w:eastAsia="pl-PL"/>
        </w:rPr>
        <w:t>.</w:t>
      </w:r>
    </w:p>
    <w:p w14:paraId="6E04A472" w14:textId="0B655FAD" w:rsidR="00D16F0E" w:rsidRPr="00C51451" w:rsidRDefault="00D16F0E" w:rsidP="00D16F0E">
      <w:pPr>
        <w:pStyle w:val="Akapitzlist"/>
        <w:numPr>
          <w:ilvl w:val="1"/>
          <w:numId w:val="7"/>
        </w:numPr>
        <w:spacing w:after="60" w:line="264" w:lineRule="auto"/>
        <w:contextualSpacing w:val="0"/>
        <w:jc w:val="both"/>
        <w:rPr>
          <w:rFonts w:cs="Arial"/>
        </w:rPr>
      </w:pPr>
      <w:r w:rsidRPr="00C51451">
        <w:rPr>
          <w:rFonts w:cs="Arial"/>
        </w:rPr>
        <w:t>Osprzęt objęty Umową powinien być wykonany zgodnie z:</w:t>
      </w:r>
    </w:p>
    <w:p w14:paraId="4325A725" w14:textId="77777777" w:rsidR="00D16F0E" w:rsidRPr="00C51451" w:rsidRDefault="00D16F0E" w:rsidP="00D16F0E">
      <w:pPr>
        <w:pStyle w:val="Akapitzlist"/>
        <w:numPr>
          <w:ilvl w:val="1"/>
          <w:numId w:val="4"/>
        </w:numPr>
        <w:spacing w:after="60" w:line="264" w:lineRule="auto"/>
        <w:contextualSpacing w:val="0"/>
        <w:jc w:val="both"/>
        <w:rPr>
          <w:rFonts w:cs="Arial"/>
        </w:rPr>
      </w:pPr>
      <w:r w:rsidRPr="00C51451">
        <w:rPr>
          <w:rFonts w:cs="Arial"/>
        </w:rPr>
        <w:lastRenderedPageBreak/>
        <w:t>Dokumentem Normatywnym nr 01-1/ET/2008 Osprzęt sieci trakcyjnej. Warszawa 2008 (dokument wydany przez PKP Polskie Linie Kolejowe S.A.),</w:t>
      </w:r>
    </w:p>
    <w:p w14:paraId="168A087E" w14:textId="77777777" w:rsidR="00D16F0E" w:rsidRPr="00C51451" w:rsidRDefault="00D16F0E" w:rsidP="00D16F0E">
      <w:pPr>
        <w:pStyle w:val="Akapitzlist"/>
        <w:numPr>
          <w:ilvl w:val="1"/>
          <w:numId w:val="4"/>
        </w:numPr>
        <w:spacing w:after="60" w:line="264" w:lineRule="auto"/>
        <w:contextualSpacing w:val="0"/>
        <w:jc w:val="both"/>
        <w:rPr>
          <w:rFonts w:cs="Arial"/>
        </w:rPr>
      </w:pPr>
      <w:r w:rsidRPr="00C51451">
        <w:rPr>
          <w:rFonts w:cs="Arial"/>
        </w:rPr>
        <w:t>danymi technicznymi podanymi w „Katalogu sieci trakcyjnej” wydanym przez Centralne Biuro Projektowo-Badawcze Budownictwa Kolejowego „KOLPROJEKT” Spółka z o.o. Warszawa. Wydanie z 2004 r. (z późniejszymi uzupełnieniami),</w:t>
      </w:r>
    </w:p>
    <w:p w14:paraId="48747947" w14:textId="77777777" w:rsidR="00D16F0E" w:rsidRPr="00C51451" w:rsidRDefault="00D16F0E" w:rsidP="00D16F0E">
      <w:pPr>
        <w:pStyle w:val="Akapitzlist"/>
        <w:numPr>
          <w:ilvl w:val="1"/>
          <w:numId w:val="4"/>
        </w:numPr>
        <w:spacing w:after="60" w:line="264" w:lineRule="auto"/>
        <w:contextualSpacing w:val="0"/>
        <w:jc w:val="both"/>
        <w:rPr>
          <w:rFonts w:cs="Arial"/>
        </w:rPr>
      </w:pPr>
      <w:r w:rsidRPr="00C51451">
        <w:rPr>
          <w:rFonts w:cs="Arial"/>
        </w:rPr>
        <w:t>normami obowiązującymi na terytorium Rzeczypospolitej Polskiej.</w:t>
      </w:r>
    </w:p>
    <w:p w14:paraId="375D78C7" w14:textId="77777777" w:rsidR="00D16F0E" w:rsidRPr="00C51451" w:rsidRDefault="00D16F0E" w:rsidP="00D16F0E">
      <w:pPr>
        <w:pStyle w:val="Akapitzlist"/>
        <w:numPr>
          <w:ilvl w:val="1"/>
          <w:numId w:val="7"/>
        </w:numPr>
        <w:spacing w:after="60" w:line="264" w:lineRule="auto"/>
        <w:contextualSpacing w:val="0"/>
        <w:jc w:val="both"/>
        <w:rPr>
          <w:rFonts w:cs="Arial"/>
        </w:rPr>
      </w:pPr>
      <w:r w:rsidRPr="00C51451">
        <w:rPr>
          <w:rFonts w:cs="Arial"/>
        </w:rPr>
        <w:t>Na osprzęcie (z wyjątkiem wyrobów, na których ze względu na technologię wykonania osprzętu nie stosuje się oznaczeń, zgodnie z wymogami PKP PLK)  powinna być umieszczona trwała i czytelna cecha, nie osłabiająca osprzętu, nie utrudniająca montażu i widoczna po zamontowaniu w sieci, zawierająca co najmniej:</w:t>
      </w:r>
    </w:p>
    <w:p w14:paraId="17EF37EC" w14:textId="77777777" w:rsidR="00D16F0E" w:rsidRPr="00C51451" w:rsidRDefault="00D16F0E" w:rsidP="00D16F0E">
      <w:pPr>
        <w:pStyle w:val="Akapitzlist"/>
        <w:numPr>
          <w:ilvl w:val="0"/>
          <w:numId w:val="3"/>
        </w:numPr>
        <w:spacing w:after="60" w:line="264" w:lineRule="auto"/>
        <w:ind w:left="1418"/>
        <w:contextualSpacing w:val="0"/>
        <w:jc w:val="both"/>
        <w:rPr>
          <w:rFonts w:cs="Arial"/>
        </w:rPr>
      </w:pPr>
      <w:r w:rsidRPr="00C51451">
        <w:rPr>
          <w:rFonts w:cs="Arial"/>
        </w:rPr>
        <w:t>znak producenta,</w:t>
      </w:r>
    </w:p>
    <w:p w14:paraId="4F41131A" w14:textId="77777777" w:rsidR="00D16F0E" w:rsidRPr="00C51451" w:rsidRDefault="00D16F0E" w:rsidP="00D16F0E">
      <w:pPr>
        <w:pStyle w:val="Akapitzlist"/>
        <w:numPr>
          <w:ilvl w:val="0"/>
          <w:numId w:val="3"/>
        </w:numPr>
        <w:spacing w:after="60" w:line="264" w:lineRule="auto"/>
        <w:ind w:left="1418"/>
        <w:contextualSpacing w:val="0"/>
        <w:jc w:val="both"/>
        <w:rPr>
          <w:rFonts w:cs="Arial"/>
        </w:rPr>
      </w:pPr>
      <w:r w:rsidRPr="00C51451">
        <w:rPr>
          <w:rFonts w:cs="Arial"/>
        </w:rPr>
        <w:t>oznaczenie osprzętu (nr katalogowy),</w:t>
      </w:r>
    </w:p>
    <w:p w14:paraId="0E86B965" w14:textId="77777777" w:rsidR="00D16F0E" w:rsidRPr="00C51451" w:rsidRDefault="00D16F0E" w:rsidP="00D16F0E">
      <w:pPr>
        <w:pStyle w:val="Akapitzlist"/>
        <w:numPr>
          <w:ilvl w:val="0"/>
          <w:numId w:val="3"/>
        </w:numPr>
        <w:spacing w:after="60" w:line="264" w:lineRule="auto"/>
        <w:ind w:left="1418"/>
        <w:contextualSpacing w:val="0"/>
        <w:jc w:val="both"/>
        <w:rPr>
          <w:rFonts w:cs="Arial"/>
        </w:rPr>
      </w:pPr>
      <w:r w:rsidRPr="00C51451">
        <w:rPr>
          <w:rFonts w:cs="Arial"/>
        </w:rPr>
        <w:t>rok produkcji (jeżeli jest to określone w dokumentacji technicznej wyrobu).</w:t>
      </w:r>
    </w:p>
    <w:p w14:paraId="61830F36" w14:textId="77777777" w:rsidR="00D16F0E" w:rsidRPr="00C51451" w:rsidRDefault="00D16F0E" w:rsidP="00D16F0E">
      <w:pPr>
        <w:spacing w:after="60" w:line="264" w:lineRule="auto"/>
        <w:ind w:left="720"/>
        <w:jc w:val="both"/>
        <w:rPr>
          <w:rFonts w:cs="Arial"/>
        </w:rPr>
      </w:pPr>
      <w:r w:rsidRPr="00C51451">
        <w:rPr>
          <w:rFonts w:cs="Arial"/>
        </w:rPr>
        <w:t>Sposób cechowania powinien być określony w dokumentacji technicznej wyrobu.</w:t>
      </w:r>
    </w:p>
    <w:p w14:paraId="7BEB7B4E" w14:textId="77777777" w:rsidR="00D16F0E" w:rsidRPr="00C51451" w:rsidRDefault="00D16F0E" w:rsidP="00D16F0E">
      <w:pPr>
        <w:pStyle w:val="Akapitzlist"/>
        <w:numPr>
          <w:ilvl w:val="1"/>
          <w:numId w:val="7"/>
        </w:numPr>
        <w:spacing w:after="60" w:line="264" w:lineRule="auto"/>
        <w:contextualSpacing w:val="0"/>
        <w:jc w:val="both"/>
        <w:rPr>
          <w:rFonts w:cs="Arial"/>
        </w:rPr>
      </w:pPr>
      <w:r w:rsidRPr="00C51451">
        <w:rPr>
          <w:rFonts w:cs="Arial"/>
        </w:rPr>
        <w:t>Opakowanie osprzętu powinno chronić osprzęt przed uszkodzeniami mechanicznymi, zanieczyszczeniem i korozją podczas przechowywania i transportu.</w:t>
      </w:r>
    </w:p>
    <w:p w14:paraId="13E666BC"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osprzęt należy pakować w skrzynki, klatki, kosze i inne,</w:t>
      </w:r>
    </w:p>
    <w:p w14:paraId="08FFF678"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 xml:space="preserve">w przypadku drobnego osprzętu, zaleca się pakować </w:t>
      </w:r>
      <w:r>
        <w:rPr>
          <w:rFonts w:cs="Arial"/>
        </w:rPr>
        <w:t>w pudełka kartonowe i układać w </w:t>
      </w:r>
      <w:r w:rsidRPr="00C51451">
        <w:rPr>
          <w:rFonts w:cs="Arial"/>
        </w:rPr>
        <w:t>skrzyniach w sposób uniemożliwiający przemieszczenie się wewnątrz pudełek,</w:t>
      </w:r>
    </w:p>
    <w:p w14:paraId="5E9F0799"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długie elementy mogą być pakowane w wiązki,</w:t>
      </w:r>
    </w:p>
    <w:p w14:paraId="15F366A8"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 xml:space="preserve">osprzęt zaprasowywany powinien być pakowany w szczelne woreczki foliowe </w:t>
      </w:r>
      <w:r>
        <w:rPr>
          <w:rFonts w:cs="Arial"/>
        </w:rPr>
        <w:t>i umieszczany w </w:t>
      </w:r>
      <w:r w:rsidRPr="00C51451">
        <w:rPr>
          <w:rFonts w:cs="Arial"/>
        </w:rPr>
        <w:t>pudełkach kartonowych,</w:t>
      </w:r>
    </w:p>
    <w:p w14:paraId="35B5E7FD"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masa brutto jednej skrzynki, klatki, kosza lub wiązki nie powinna przekraczać 80 kg – nie dotyczy opakowań zbiorczych,</w:t>
      </w:r>
    </w:p>
    <w:p w14:paraId="1E91AE27"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liczba warstw ładowania i składowania powinna być uzależniona od wytrzymałości opakowań,</w:t>
      </w:r>
    </w:p>
    <w:p w14:paraId="55D2CE75"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na każdym opakowaniu powinien być umieszczony napis zawierający:</w:t>
      </w:r>
    </w:p>
    <w:p w14:paraId="13473280" w14:textId="77777777" w:rsidR="00D16F0E" w:rsidRPr="00C51451" w:rsidRDefault="00D16F0E" w:rsidP="00D16F0E">
      <w:pPr>
        <w:pStyle w:val="Akapitzlist"/>
        <w:numPr>
          <w:ilvl w:val="0"/>
          <w:numId w:val="5"/>
        </w:numPr>
        <w:spacing w:after="60" w:line="264" w:lineRule="auto"/>
        <w:contextualSpacing w:val="0"/>
        <w:jc w:val="both"/>
        <w:rPr>
          <w:rFonts w:cs="Arial"/>
        </w:rPr>
      </w:pPr>
      <w:r w:rsidRPr="00C51451">
        <w:rPr>
          <w:rFonts w:cs="Arial"/>
        </w:rPr>
        <w:t>nazwę i znak producenta,</w:t>
      </w:r>
    </w:p>
    <w:p w14:paraId="2D6923BB" w14:textId="77777777" w:rsidR="00D16F0E" w:rsidRPr="00C51451" w:rsidRDefault="00D16F0E" w:rsidP="00D16F0E">
      <w:pPr>
        <w:pStyle w:val="Akapitzlist"/>
        <w:numPr>
          <w:ilvl w:val="0"/>
          <w:numId w:val="5"/>
        </w:numPr>
        <w:spacing w:after="60" w:line="264" w:lineRule="auto"/>
        <w:contextualSpacing w:val="0"/>
        <w:jc w:val="both"/>
        <w:rPr>
          <w:rFonts w:cs="Arial"/>
        </w:rPr>
      </w:pPr>
      <w:r w:rsidRPr="00C51451">
        <w:rPr>
          <w:rFonts w:cs="Arial"/>
        </w:rPr>
        <w:t>oznaczenie osprzętu,</w:t>
      </w:r>
    </w:p>
    <w:p w14:paraId="358C7E7F" w14:textId="77777777" w:rsidR="00D16F0E" w:rsidRPr="00C51451" w:rsidRDefault="00D16F0E" w:rsidP="00D16F0E">
      <w:pPr>
        <w:pStyle w:val="Akapitzlist"/>
        <w:numPr>
          <w:ilvl w:val="0"/>
          <w:numId w:val="5"/>
        </w:numPr>
        <w:spacing w:after="60" w:line="264" w:lineRule="auto"/>
        <w:contextualSpacing w:val="0"/>
        <w:jc w:val="both"/>
        <w:rPr>
          <w:rFonts w:cs="Arial"/>
        </w:rPr>
      </w:pPr>
      <w:r w:rsidRPr="00C51451">
        <w:rPr>
          <w:rFonts w:cs="Arial"/>
        </w:rPr>
        <w:t>liczbę sztuk,</w:t>
      </w:r>
    </w:p>
    <w:p w14:paraId="69DDA580" w14:textId="77777777" w:rsidR="00D16F0E" w:rsidRPr="00C51451" w:rsidRDefault="00D16F0E" w:rsidP="00D16F0E">
      <w:pPr>
        <w:pStyle w:val="Akapitzlist"/>
        <w:numPr>
          <w:ilvl w:val="2"/>
          <w:numId w:val="6"/>
        </w:numPr>
        <w:spacing w:after="60" w:line="264" w:lineRule="auto"/>
        <w:ind w:left="1134" w:hanging="414"/>
        <w:contextualSpacing w:val="0"/>
        <w:jc w:val="both"/>
        <w:rPr>
          <w:rFonts w:cs="Arial"/>
        </w:rPr>
      </w:pPr>
      <w:r w:rsidRPr="00C51451">
        <w:rPr>
          <w:rFonts w:cs="Arial"/>
        </w:rPr>
        <w:t>osprzęt, należy transportować w sposób niepowodujący:</w:t>
      </w:r>
    </w:p>
    <w:p w14:paraId="772317C2" w14:textId="77777777" w:rsidR="00D16F0E" w:rsidRPr="00C51451" w:rsidRDefault="00D16F0E" w:rsidP="00D16F0E">
      <w:pPr>
        <w:pStyle w:val="Akapitzlist"/>
        <w:numPr>
          <w:ilvl w:val="0"/>
          <w:numId w:val="5"/>
        </w:numPr>
        <w:spacing w:after="60" w:line="264" w:lineRule="auto"/>
        <w:contextualSpacing w:val="0"/>
        <w:jc w:val="both"/>
        <w:rPr>
          <w:rFonts w:cs="Arial"/>
        </w:rPr>
      </w:pPr>
      <w:r w:rsidRPr="00C51451">
        <w:rPr>
          <w:rFonts w:cs="Arial"/>
        </w:rPr>
        <w:t>uszkodzeń tego osprzętu,</w:t>
      </w:r>
    </w:p>
    <w:p w14:paraId="18535BC6" w14:textId="77777777" w:rsidR="00D16F0E" w:rsidRPr="00C51451" w:rsidRDefault="00D16F0E" w:rsidP="00D16F0E">
      <w:pPr>
        <w:pStyle w:val="Akapitzlist"/>
        <w:numPr>
          <w:ilvl w:val="0"/>
          <w:numId w:val="5"/>
        </w:numPr>
        <w:spacing w:after="60" w:line="264" w:lineRule="auto"/>
        <w:contextualSpacing w:val="0"/>
        <w:jc w:val="both"/>
        <w:rPr>
          <w:rFonts w:cs="Arial"/>
        </w:rPr>
      </w:pPr>
      <w:r w:rsidRPr="00C51451">
        <w:rPr>
          <w:rFonts w:cs="Arial"/>
        </w:rPr>
        <w:t>uszkodzeń powłok ochronnych,</w:t>
      </w:r>
    </w:p>
    <w:p w14:paraId="7990B2F2" w14:textId="7EAFC1D7" w:rsidR="00D16F0E" w:rsidRPr="00C72437" w:rsidRDefault="00D16F0E" w:rsidP="00D16F0E">
      <w:pPr>
        <w:pStyle w:val="Akapitzlist"/>
        <w:numPr>
          <w:ilvl w:val="0"/>
          <w:numId w:val="5"/>
        </w:numPr>
        <w:spacing w:after="60" w:line="264" w:lineRule="auto"/>
        <w:contextualSpacing w:val="0"/>
        <w:jc w:val="both"/>
        <w:rPr>
          <w:rFonts w:cs="Arial"/>
        </w:rPr>
      </w:pPr>
      <w:r w:rsidRPr="00C51451">
        <w:rPr>
          <w:rFonts w:cs="Arial"/>
        </w:rPr>
        <w:t>rozdzielania się zespołów oraz podzespołó</w:t>
      </w:r>
      <w:r w:rsidR="00102333">
        <w:rPr>
          <w:rFonts w:cs="Arial"/>
        </w:rPr>
        <w:t>w</w:t>
      </w:r>
    </w:p>
    <w:sectPr w:rsidR="00D16F0E" w:rsidRPr="00C7243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DE054" w14:textId="77777777" w:rsidR="00055681" w:rsidRDefault="00055681" w:rsidP="00D16F0E">
      <w:pPr>
        <w:spacing w:after="0" w:line="240" w:lineRule="auto"/>
      </w:pPr>
      <w:r>
        <w:separator/>
      </w:r>
    </w:p>
  </w:endnote>
  <w:endnote w:type="continuationSeparator" w:id="0">
    <w:p w14:paraId="4B81196C" w14:textId="77777777" w:rsidR="00055681" w:rsidRDefault="00055681" w:rsidP="00D16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712F6" w14:textId="77777777" w:rsidR="00C72437" w:rsidRDefault="00C724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3387F" w14:textId="77777777" w:rsidR="00C72437" w:rsidRDefault="00C7243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E96D9" w14:textId="77777777" w:rsidR="00C72437" w:rsidRDefault="00C72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4ECD1" w14:textId="77777777" w:rsidR="00055681" w:rsidRDefault="00055681" w:rsidP="00D16F0E">
      <w:pPr>
        <w:spacing w:after="0" w:line="240" w:lineRule="auto"/>
      </w:pPr>
      <w:r>
        <w:separator/>
      </w:r>
    </w:p>
  </w:footnote>
  <w:footnote w:type="continuationSeparator" w:id="0">
    <w:p w14:paraId="16ED9E85" w14:textId="77777777" w:rsidR="00055681" w:rsidRDefault="00055681" w:rsidP="00D16F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73B88" w14:textId="77777777" w:rsidR="00C72437" w:rsidRDefault="00C724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D513B" w14:textId="558124B0" w:rsidR="00C72437" w:rsidRDefault="00C7243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6631C" w14:textId="77777777" w:rsidR="00C72437" w:rsidRDefault="00C724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AE0"/>
    <w:multiLevelType w:val="multilevel"/>
    <w:tmpl w:val="941204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A54002"/>
    <w:multiLevelType w:val="multilevel"/>
    <w:tmpl w:val="941204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59359F1"/>
    <w:multiLevelType w:val="hybridMultilevel"/>
    <w:tmpl w:val="5C4AE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045478"/>
    <w:multiLevelType w:val="multilevel"/>
    <w:tmpl w:val="4AB6A6C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9FC57FD"/>
    <w:multiLevelType w:val="hybridMultilevel"/>
    <w:tmpl w:val="54B88EFE"/>
    <w:lvl w:ilvl="0" w:tplc="ADE81A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D153CA3"/>
    <w:multiLevelType w:val="hybridMultilevel"/>
    <w:tmpl w:val="0D8029D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55E233F"/>
    <w:multiLevelType w:val="hybridMultilevel"/>
    <w:tmpl w:val="1868AAAE"/>
    <w:lvl w:ilvl="0" w:tplc="F36861B8">
      <w:start w:val="1"/>
      <w:numFmt w:val="upperRoman"/>
      <w:lvlText w:val="%1."/>
      <w:lvlJc w:val="left"/>
      <w:pPr>
        <w:ind w:left="1080" w:hanging="720"/>
      </w:pPr>
      <w:rPr>
        <w:rFonts w:cs="Arial" w:hint="default"/>
      </w:rPr>
    </w:lvl>
    <w:lvl w:ilvl="1" w:tplc="6E14760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C95FF4"/>
    <w:multiLevelType w:val="hybridMultilevel"/>
    <w:tmpl w:val="C12E8E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FE48BB"/>
    <w:multiLevelType w:val="hybridMultilevel"/>
    <w:tmpl w:val="F6107412"/>
    <w:lvl w:ilvl="0" w:tplc="D958AF6E">
      <w:start w:val="1"/>
      <w:numFmt w:val="bullet"/>
      <w:lvlText w:val=""/>
      <w:lvlJc w:val="left"/>
      <w:pPr>
        <w:ind w:left="1778" w:hanging="360"/>
      </w:pPr>
      <w:rPr>
        <w:rFonts w:ascii="Symbol" w:hAnsi="Symbol"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748F5C33"/>
    <w:multiLevelType w:val="hybridMultilevel"/>
    <w:tmpl w:val="B2E0D8E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534083817">
    <w:abstractNumId w:val="2"/>
  </w:num>
  <w:num w:numId="2" w16cid:durableId="1593664169">
    <w:abstractNumId w:val="9"/>
  </w:num>
  <w:num w:numId="3" w16cid:durableId="766002776">
    <w:abstractNumId w:val="4"/>
  </w:num>
  <w:num w:numId="4" w16cid:durableId="1426414552">
    <w:abstractNumId w:val="7"/>
  </w:num>
  <w:num w:numId="5" w16cid:durableId="1182015016">
    <w:abstractNumId w:val="8"/>
  </w:num>
  <w:num w:numId="6" w16cid:durableId="500850720">
    <w:abstractNumId w:val="3"/>
  </w:num>
  <w:num w:numId="7" w16cid:durableId="1823303053">
    <w:abstractNumId w:val="0"/>
  </w:num>
  <w:num w:numId="8" w16cid:durableId="484665625">
    <w:abstractNumId w:val="6"/>
  </w:num>
  <w:num w:numId="9" w16cid:durableId="870267205">
    <w:abstractNumId w:val="1"/>
  </w:num>
  <w:num w:numId="10" w16cid:durableId="1274753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F0E"/>
    <w:rsid w:val="00055681"/>
    <w:rsid w:val="00102333"/>
    <w:rsid w:val="001C1D38"/>
    <w:rsid w:val="001E65B4"/>
    <w:rsid w:val="00263A54"/>
    <w:rsid w:val="00270C0E"/>
    <w:rsid w:val="002A2DAD"/>
    <w:rsid w:val="003F6139"/>
    <w:rsid w:val="00423289"/>
    <w:rsid w:val="005065DF"/>
    <w:rsid w:val="00590EDE"/>
    <w:rsid w:val="00595590"/>
    <w:rsid w:val="00696FF2"/>
    <w:rsid w:val="007C66A9"/>
    <w:rsid w:val="007F6A12"/>
    <w:rsid w:val="008D6622"/>
    <w:rsid w:val="009175C9"/>
    <w:rsid w:val="009533F3"/>
    <w:rsid w:val="009C5354"/>
    <w:rsid w:val="00A44D7A"/>
    <w:rsid w:val="00C04B9E"/>
    <w:rsid w:val="00C72437"/>
    <w:rsid w:val="00D16F0E"/>
    <w:rsid w:val="00DE0884"/>
    <w:rsid w:val="00F312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A73A4"/>
  <w15:chartTrackingRefBased/>
  <w15:docId w15:val="{1670D093-3860-4405-923A-7FAD8BB3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F0E"/>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D16F0E"/>
    <w:pPr>
      <w:ind w:left="720"/>
      <w:contextualSpacing/>
    </w:p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locked/>
    <w:rsid w:val="00D16F0E"/>
    <w:rPr>
      <w:kern w:val="0"/>
    </w:rPr>
  </w:style>
  <w:style w:type="character" w:styleId="Hipercze">
    <w:name w:val="Hyperlink"/>
    <w:basedOn w:val="Domylnaczcionkaakapitu"/>
    <w:uiPriority w:val="99"/>
    <w:unhideWhenUsed/>
    <w:rsid w:val="00D16F0E"/>
    <w:rPr>
      <w:color w:val="0563C1" w:themeColor="hyperlink"/>
      <w:u w:val="single"/>
    </w:rPr>
  </w:style>
  <w:style w:type="paragraph" w:styleId="Nagwek">
    <w:name w:val="header"/>
    <w:basedOn w:val="Normalny"/>
    <w:link w:val="NagwekZnak"/>
    <w:uiPriority w:val="99"/>
    <w:unhideWhenUsed/>
    <w:rsid w:val="00C72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437"/>
    <w:rPr>
      <w:kern w:val="0"/>
    </w:rPr>
  </w:style>
  <w:style w:type="paragraph" w:styleId="Stopka">
    <w:name w:val="footer"/>
    <w:basedOn w:val="Normalny"/>
    <w:link w:val="StopkaZnak"/>
    <w:uiPriority w:val="99"/>
    <w:unhideWhenUsed/>
    <w:rsid w:val="00C724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437"/>
    <w:rPr>
      <w:kern w:val="0"/>
    </w:rPr>
  </w:style>
  <w:style w:type="character" w:styleId="UyteHipercze">
    <w:name w:val="FollowedHyperlink"/>
    <w:basedOn w:val="Domylnaczcionkaakapitu"/>
    <w:uiPriority w:val="99"/>
    <w:semiHidden/>
    <w:unhideWhenUsed/>
    <w:rsid w:val="00102333"/>
    <w:rPr>
      <w:color w:val="954F72" w:themeColor="followedHyperlink"/>
      <w:u w:val="single"/>
    </w:rPr>
  </w:style>
  <w:style w:type="character" w:styleId="Nierozpoznanawzmianka">
    <w:name w:val="Unresolved Mention"/>
    <w:basedOn w:val="Domylnaczcionkaakapitu"/>
    <w:uiPriority w:val="99"/>
    <w:semiHidden/>
    <w:unhideWhenUsed/>
    <w:rsid w:val="00102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1a - Parametry techniczne i wymagania techniczno-formalne.docx</dmsv2BaseFileName>
    <dmsv2BaseDisplayName xmlns="http://schemas.microsoft.com/sharepoint/v3">Załącznik nr 1a - Parametry techniczne i wymagania techniczno-formalne</dmsv2BaseDisplayName>
    <dmsv2SWPP2ObjectNumber xmlns="http://schemas.microsoft.com/sharepoint/v3">POST/HZ/EK/HZL/00114/2025                         </dmsv2SWPP2ObjectNumber>
    <dmsv2SWPP2SumMD5 xmlns="http://schemas.microsoft.com/sharepoint/v3">d7f81a2b320ee8bf1fdcd3d32d436d1e</dmsv2SWPP2SumMD5>
    <dmsv2BaseMoved xmlns="http://schemas.microsoft.com/sharepoint/v3">false</dmsv2BaseMoved>
    <dmsv2BaseIsSensitive xmlns="http://schemas.microsoft.com/sharepoint/v3">true</dmsv2BaseIsSensitive>
    <dmsv2SWPP2IDSWPP2 xmlns="http://schemas.microsoft.com/sharepoint/v3">675599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22244617</dmsv2BaseClientSystemDocumentID>
    <dmsv2BaseModifiedByID xmlns="http://schemas.microsoft.com/sharepoint/v3">r.wilk@pkpeholding.pl</dmsv2BaseModifiedByID>
    <dmsv2BaseCreatedByID xmlns="http://schemas.microsoft.com/sharepoint/v3">r.wilk@pkpeholding.pl</dmsv2BaseCreatedByID>
    <dmsv2SWPP2ObjectDepartment xmlns="http://schemas.microsoft.com/sharepoint/v3">000000010017000400010007</dmsv2SWPP2ObjectDepartment>
    <dmsv2SWPP2ObjectName xmlns="http://schemas.microsoft.com/sharepoint/v3">Postępowanie</dmsv2SWPP2ObjectName>
    <_dlc_DocId xmlns="a19cb1c7-c5c7-46d4-85ae-d83685407bba">MUFVPD5EPY3P-1045142572-17462</_dlc_DocId>
    <_dlc_DocIdUrl xmlns="a19cb1c7-c5c7-46d4-85ae-d83685407bba">
      <Url>https://swpp2.dms.gkpge.pl/sites/36/_layouts/15/DocIdRedir.aspx?ID=MUFVPD5EPY3P-1045142572-17462</Url>
      <Description>MUFVPD5EPY3P-1045142572-17462</Description>
    </_dlc_DocIdUrl>
  </documentManagement>
</p:properties>
</file>

<file path=customXml/itemProps1.xml><?xml version="1.0" encoding="utf-8"?>
<ds:datastoreItem xmlns:ds="http://schemas.openxmlformats.org/officeDocument/2006/customXml" ds:itemID="{D725DD53-4E8C-4155-961E-300BB73AB5E7}"/>
</file>

<file path=customXml/itemProps2.xml><?xml version="1.0" encoding="utf-8"?>
<ds:datastoreItem xmlns:ds="http://schemas.openxmlformats.org/officeDocument/2006/customXml" ds:itemID="{98543BE0-4ED2-4B16-B1B3-C3FF52ED238C}">
  <ds:schemaRefs>
    <ds:schemaRef ds:uri="http://schemas.microsoft.com/sharepoint/v3/contenttype/forms"/>
  </ds:schemaRefs>
</ds:datastoreItem>
</file>

<file path=customXml/itemProps3.xml><?xml version="1.0" encoding="utf-8"?>
<ds:datastoreItem xmlns:ds="http://schemas.openxmlformats.org/officeDocument/2006/customXml" ds:itemID="{88FB411C-2D0D-483F-BA7B-F301D297F613}">
  <ds:schemaRefs>
    <ds:schemaRef ds:uri="http://schemas.openxmlformats.org/officeDocument/2006/bibliography"/>
  </ds:schemaRefs>
</ds:datastoreItem>
</file>

<file path=customXml/itemProps4.xml><?xml version="1.0" encoding="utf-8"?>
<ds:datastoreItem xmlns:ds="http://schemas.openxmlformats.org/officeDocument/2006/customXml" ds:itemID="{0AA40A1E-43AE-4D3B-A835-D0D274302182}">
  <ds:schemaRefs>
    <ds:schemaRef ds:uri="http://schemas.microsoft.com/sharepoint/events"/>
  </ds:schemaRefs>
</ds:datastoreItem>
</file>

<file path=customXml/itemProps5.xml><?xml version="1.0" encoding="utf-8"?>
<ds:datastoreItem xmlns:ds="http://schemas.openxmlformats.org/officeDocument/2006/customXml" ds:itemID="{573C93F9-18C0-4815-A25E-471EFD8F1427}">
  <ds:schemaRefs>
    <ds:schemaRef ds:uri="http://schemas.microsoft.com/office/2006/metadata/properties"/>
    <ds:schemaRef ds:uri="http://schemas.microsoft.com/office/infopath/2007/PartnerControls"/>
    <ds:schemaRef ds:uri="4eba425d-11a1-473f-b2c7-69f48d0372c5"/>
    <ds:schemaRef ds:uri="66426e0f-941f-41a3-8774-b97cd4862826"/>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3958</Characters>
  <Application>Microsoft Office Word</Application>
  <DocSecurity>0</DocSecurity>
  <Lines>32</Lines>
  <Paragraphs>9</Paragraphs>
  <ScaleCrop>false</ScaleCrop>
  <Company>PKP Energetyka Grupa Kapitałowa</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Majka</dc:creator>
  <cp:keywords/>
  <dc:description/>
  <cp:lastModifiedBy>Robert Wilk-Gałązka</cp:lastModifiedBy>
  <cp:revision>2</cp:revision>
  <dcterms:created xsi:type="dcterms:W3CDTF">2025-04-08T12:06:00Z</dcterms:created>
  <dcterms:modified xsi:type="dcterms:W3CDTF">2025-04-08T12:06:00Z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PKPECATEGORY">
    <vt:lpwstr>PODSTAWOWY</vt:lpwstr>
  </property>
  <property fmtid="{D5CDD505-2E9C-101B-9397-08002B2CF9AE}" pid="4" name="PKPEClassifiedBy">
    <vt:lpwstr>PKPENERGETYKA\n.majka;Natalia Majka</vt:lpwstr>
  </property>
  <property fmtid="{D5CDD505-2E9C-101B-9397-08002B2CF9AE}" pid="5" name="PKPEClassificationDate">
    <vt:lpwstr>2023-07-31T13:52:20.7849242+02:00</vt:lpwstr>
  </property>
  <property fmtid="{D5CDD505-2E9C-101B-9397-08002B2CF9AE}" pid="6" name="PKPEClassifiedBySID">
    <vt:lpwstr>PKPENERGETYKA\S-1-5-21-3871890766-2155079996-2380071410-77010</vt:lpwstr>
  </property>
  <property fmtid="{D5CDD505-2E9C-101B-9397-08002B2CF9AE}" pid="7" name="PKPEGRNItemId">
    <vt:lpwstr>GRN-2cf750aa-8cf8-40aa-b5a1-c3b2f4d84b19</vt:lpwstr>
  </property>
  <property fmtid="{D5CDD505-2E9C-101B-9397-08002B2CF9AE}" pid="8" name="PKPEHash">
    <vt:lpwstr>kUqzdpR+Tm07+sNuMtwwFP7dSZs1ZEHGUHMcyUf9TQ4=</vt:lpwstr>
  </property>
  <property fmtid="{D5CDD505-2E9C-101B-9397-08002B2CF9AE}" pid="9" name="PKPERefresh">
    <vt:lpwstr>False</vt:lpwstr>
  </property>
  <property fmtid="{D5CDD505-2E9C-101B-9397-08002B2CF9AE}" pid="10" name="_dlc_DocIdItemGuid">
    <vt:lpwstr>bcbae015-d54c-453e-abb6-f53a4e6f6539</vt:lpwstr>
  </property>
  <property fmtid="{D5CDD505-2E9C-101B-9397-08002B2CF9AE}" pid="11" name="PGEEKCATEGORY">
    <vt:lpwstr>PUB</vt:lpwstr>
  </property>
  <property fmtid="{D5CDD505-2E9C-101B-9397-08002B2CF9AE}" pid="12" name="PGEEKClassifiedBy">
    <vt:lpwstr>PKPENERGETYKA\k.stepien;Katarzyna Stępień</vt:lpwstr>
  </property>
  <property fmtid="{D5CDD505-2E9C-101B-9397-08002B2CF9AE}" pid="13" name="PGEEKClassificationDate">
    <vt:lpwstr>2025-03-04T10:01:53.8850280+01:00</vt:lpwstr>
  </property>
  <property fmtid="{D5CDD505-2E9C-101B-9397-08002B2CF9AE}" pid="14" name="PGEEKClassifiedBySID">
    <vt:lpwstr>PKPENERGETYKA\S-1-5-21-3871890766-2155079996-2380071410-5200</vt:lpwstr>
  </property>
  <property fmtid="{D5CDD505-2E9C-101B-9397-08002B2CF9AE}" pid="15" name="PGEEKGRNItemId">
    <vt:lpwstr>GRN-4b7aae2f-8d43-45be-b387-2611788456aa</vt:lpwstr>
  </property>
  <property fmtid="{D5CDD505-2E9C-101B-9397-08002B2CF9AE}" pid="16" name="PGEEKHash">
    <vt:lpwstr>yVWnU1ghe7WLbSRYz3At4LthVXoTLwKYe0lYF4JMIc8=</vt:lpwstr>
  </property>
  <property fmtid="{D5CDD505-2E9C-101B-9397-08002B2CF9AE}" pid="17" name="PGEEKVisualMarkingsSettings">
    <vt:lpwstr>HeaderAlignment=1;FooterAlignment=1</vt:lpwstr>
  </property>
  <property fmtid="{D5CDD505-2E9C-101B-9397-08002B2CF9AE}" pid="18" name="DLPManualFileClassification">
    <vt:lpwstr>{b1ba84fe-90d9-40dd-ba64-214a5793dae5}</vt:lpwstr>
  </property>
  <property fmtid="{D5CDD505-2E9C-101B-9397-08002B2CF9AE}" pid="19" name="PGEEKRefresh">
    <vt:lpwstr>False</vt:lpwstr>
  </property>
</Properties>
</file>